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2332"/>
      </w:tblGrid>
      <w:tr w:rsidR="00AE68D0" w14:paraId="7CAFAA85" w14:textId="77777777"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left w:val="single" w:sz="48" w:space="0" w:color="0000FF"/>
              <w:bottom w:val="single" w:sz="2" w:space="0" w:color="auto"/>
              <w:right w:val="single" w:sz="2" w:space="0" w:color="auto"/>
            </w:tcBorders>
          </w:tcPr>
          <w:p w14:paraId="746DFAE2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BF4656">
              <w:rPr>
                <w:rFonts w:ascii="Arial" w:hAnsi="Arial"/>
              </w:rPr>
              <w:t>0042</w:t>
            </w:r>
          </w:p>
          <w:p w14:paraId="3A3E9854" w14:textId="5C85DB83" w:rsidR="00AE68D0" w:rsidRDefault="00AE68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49724C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14" w:type="dxa"/>
            <w:gridSpan w:val="2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9B78" w14:textId="2556A6B7" w:rsidR="00AE68D0" w:rsidRDefault="0049724C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AE68D0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116712FA" w14:textId="1F76022C" w:rsidR="00AE68D0" w:rsidRDefault="00AE68D0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2" w:type="dxa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48" w:space="0" w:color="0000FF"/>
            </w:tcBorders>
          </w:tcPr>
          <w:p w14:paraId="3A4FC621" w14:textId="77777777" w:rsidR="00AE68D0" w:rsidRDefault="00AE68D0">
            <w:pPr>
              <w:tabs>
                <w:tab w:val="center" w:pos="173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2145C5">
              <w:rPr>
                <w:rFonts w:ascii="Arial" w:hAnsi="Arial"/>
                <w:sz w:val="16"/>
              </w:rPr>
              <w:t>07/2007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2170BA81" w14:textId="77777777" w:rsidR="00AE68D0" w:rsidRDefault="00AE68D0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084DA2EB" w14:textId="77777777">
        <w:trPr>
          <w:jc w:val="center"/>
        </w:trPr>
        <w:tc>
          <w:tcPr>
            <w:tcW w:w="5421" w:type="dxa"/>
            <w:gridSpan w:val="3"/>
            <w:tcBorders>
              <w:top w:val="single" w:sz="2" w:space="0" w:color="auto"/>
              <w:left w:val="single" w:sz="48" w:space="0" w:color="0000FF"/>
              <w:bottom w:val="nil"/>
              <w:right w:val="single" w:sz="2" w:space="0" w:color="auto"/>
            </w:tcBorders>
          </w:tcPr>
          <w:p w14:paraId="7A2DB157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54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8" w:space="0" w:color="0000FF"/>
            </w:tcBorders>
          </w:tcPr>
          <w:p w14:paraId="45F94EB7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4A8F39A2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256FBC15" w14:textId="77777777" w:rsidR="00AE68D0" w:rsidRDefault="00EE09A6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 w14:paraId="4C1FF41D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73A2EB0B" w14:textId="77777777" w:rsidR="00AE68D0" w:rsidRDefault="00184CD5">
            <w:pPr>
              <w:spacing w:before="72" w:after="72"/>
              <w:ind w:left="1361" w:right="1361"/>
              <w:rPr>
                <w:rFonts w:ascii="Arial" w:hAnsi="Arial"/>
                <w:sz w:val="22"/>
              </w:rPr>
            </w:pPr>
            <w:r w:rsidRPr="00EF2C60">
              <w:rPr>
                <w:rFonts w:ascii="Arial" w:hAnsi="Arial"/>
                <w:b/>
                <w:sz w:val="22"/>
                <w:szCs w:val="22"/>
              </w:rPr>
              <w:t>Diese Betriebsanweisung gilt für das sichere Benutzen von Anlegeleitern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AE68D0" w14:paraId="6828D9B7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00E4E4C4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E68D0" w14:paraId="63C14622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02352943" w14:textId="77777777" w:rsidR="00AE68D0" w:rsidRDefault="00EC4971" w:rsidP="00B65B88">
            <w:pPr>
              <w:spacing w:before="72" w:after="72"/>
              <w:ind w:left="57"/>
              <w:jc w:val="center"/>
              <w:rPr>
                <w:rFonts w:ascii="Arial" w:hAnsi="Arial"/>
                <w:sz w:val="22"/>
              </w:rPr>
            </w:pPr>
            <w:r>
              <w:object w:dxaOrig="10200" w:dyaOrig="8865" w14:anchorId="0F2A9C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0.5pt" o:ole="">
                  <v:imagedata r:id="rId5" o:title=""/>
                </v:shape>
                <o:OLEObject Type="Embed" ProgID="PBrush" ShapeID="_x0000_i1025" DrawAspect="Content" ObjectID="_1738579853" r:id="rId6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4C7C9DDF" w14:textId="77777777" w:rsidR="00AE68D0" w:rsidRPr="00EF2C60" w:rsidRDefault="00184CD5">
            <w:pPr>
              <w:spacing w:before="72" w:after="72"/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Bei unsachgemäßem Handhaben und Aufstellen von Leitern besteht die Gefahr von Absturz bzw. Umstürzen mit den Leitern.</w:t>
            </w:r>
          </w:p>
        </w:tc>
      </w:tr>
      <w:tr w:rsidR="00AE68D0" w14:paraId="5BD87C98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08AC7A32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E68D0" w14:paraId="6FECE186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1B30C869" w14:textId="77777777" w:rsidR="00AE68D0" w:rsidRDefault="00AE68D0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39851AEB" w14:textId="77777777" w:rsidR="00AE68D0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Ungeeignete Aufstiege wie zum Beispiel Hocker, Stühle, Regale etc. dürfen wegen der Absturz</w:t>
            </w:r>
            <w:r w:rsidR="00B65B88">
              <w:rPr>
                <w:rFonts w:ascii="Arial" w:hAnsi="Arial"/>
                <w:sz w:val="18"/>
                <w:szCs w:val="18"/>
              </w:rPr>
              <w:t>-</w:t>
            </w:r>
            <w:r w:rsidRPr="00EF2C60">
              <w:rPr>
                <w:rFonts w:ascii="Arial" w:hAnsi="Arial"/>
                <w:sz w:val="18"/>
                <w:szCs w:val="18"/>
              </w:rPr>
              <w:t>gefahr anstelle von Leitern nicht benutzt werden.</w:t>
            </w:r>
          </w:p>
          <w:p w14:paraId="42667ABE" w14:textId="77777777"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Vor dem Gebrauch der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Leiter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auf Eignung und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Beschaffenheit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achten.</w:t>
            </w:r>
          </w:p>
          <w:p w14:paraId="707FAEE6" w14:textId="77777777"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Keine schadhaften Leitern benutzen.</w:t>
            </w:r>
          </w:p>
          <w:p w14:paraId="6D65B2A0" w14:textId="77777777"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Anlegeleitern dürfen nur zu den Zwecken benutzt werden, für die diese nach ihrer Bauart bestimmt sind. Als Tragegestell für den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Transport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schwerer Gegenstände sind Anlegeleitern nicht geeignet.</w:t>
            </w:r>
          </w:p>
          <w:p w14:paraId="718294BD" w14:textId="77777777"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Anlegeleitern nicht ungesichert in Verkehrswegen aufstellen. Bei Arbeiten auf Verkehrswegen, zum Beispiel in Türnähe oder Verkaufsbereichen mit entsprechend hohem Personenaufkommen, muss die Leiter gegen Umstürzen- zum Beispiel durch eine zweite Person – gesichert sein.</w:t>
            </w:r>
          </w:p>
          <w:p w14:paraId="3991172A" w14:textId="77777777"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Anlegeleitern müssen in der richtigen Neigung aufgestellt werden. Sprossenanlegeleitern müssen mit der Standfläche einen Winkel von etwa 70 Grad bilden.</w:t>
            </w:r>
          </w:p>
          <w:p w14:paraId="0E326D85" w14:textId="77777777"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Anlegeleitern nur an sichere Stützpunkte legen. Glasscheiben, Spanndrähte, senkrechte Stangen, unverschlossene Türen sowie sonstige nachgebende Stellen sind keine sicheren Stützpunkte.</w:t>
            </w:r>
          </w:p>
          <w:p w14:paraId="3FA030D4" w14:textId="77777777"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Die Leiter erst nach vollständigem Einrasten der Aufsetzhaken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benutzen</w:t>
            </w:r>
            <w:r w:rsidRPr="00EF2C60">
              <w:rPr>
                <w:rFonts w:ascii="Arial" w:hAnsi="Arial"/>
                <w:sz w:val="18"/>
                <w:szCs w:val="18"/>
              </w:rPr>
              <w:t>.</w:t>
            </w:r>
          </w:p>
          <w:p w14:paraId="7F7E009D" w14:textId="77777777" w:rsidR="00184CD5" w:rsidRPr="00EF2C60" w:rsidRDefault="00184CD5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Anlegeleitern nur auf festem Untergrund aufstellen. Leiterfüße nicht auf Kisten, Steinen, Steinstapeln, Tischen oder unbefestigtem Untergrund aufstellen.</w:t>
            </w:r>
          </w:p>
          <w:p w14:paraId="1FEA91CE" w14:textId="77777777" w:rsidR="00184CD5" w:rsidRPr="00EF2C60" w:rsidRDefault="00FC46C7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Keine schweren, sperrigen Gegenstände auf der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Leiter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transportieren. Beim Begehen der Leiter muss man wenigstens eine Hand zum Festhalten freihaben.</w:t>
            </w:r>
          </w:p>
          <w:p w14:paraId="04E84E9A" w14:textId="77777777" w:rsidR="00FC46C7" w:rsidRPr="00EF2C60" w:rsidRDefault="00FC46C7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Zum Übersteigen auf höher gelegene Bereiche, zum Beispiel Zwischenbühnen, Lagerflächen, müssen Haltemöglichkeiten vorhanden sein. Dieser Forderung werden entweder Haltegriffe oder die 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Le</w:t>
            </w:r>
            <w:r w:rsidR="00B65B88">
              <w:rPr>
                <w:rFonts w:ascii="Arial" w:hAnsi="Arial"/>
                <w:sz w:val="18"/>
                <w:szCs w:val="18"/>
              </w:rPr>
              <w:t>i</w:t>
            </w:r>
            <w:r w:rsidR="00B65B88" w:rsidRPr="00EF2C60">
              <w:rPr>
                <w:rFonts w:ascii="Arial" w:hAnsi="Arial"/>
                <w:sz w:val="18"/>
                <w:szCs w:val="18"/>
              </w:rPr>
              <w:t>terholme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selbst gerecht, wenn diese mindestens 1 m über die Auftrittsfläche hinausragen.</w:t>
            </w:r>
          </w:p>
          <w:p w14:paraId="5F1C175A" w14:textId="77777777" w:rsidR="00FC46C7" w:rsidRPr="00EF2C60" w:rsidRDefault="00FC46C7" w:rsidP="00EF2C60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Anlegeleitern dürfen nur mit Schuhe begangen werden, die dem Fuß genügend Halt bieten. Schuhe ohne Fersenriemen sind zum Beispiel nicht geeignet.</w:t>
            </w:r>
          </w:p>
          <w:p w14:paraId="53B8B461" w14:textId="77777777" w:rsidR="00FC46C7" w:rsidRPr="00EF2C60" w:rsidRDefault="00FC46C7" w:rsidP="00EF2C60">
            <w:pPr>
              <w:numPr>
                <w:ilvl w:val="0"/>
                <w:numId w:val="1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Leitertransport: Anlegeleitern trägt man am sichersten zusammengeklappt in senkrechter Lage längs des Körpers. Die Mitnahme von Anlegeleitern auf Fahrtreppen und Fahrsteigen ist wegen der Gefahr des Verkantens und Hängenbleibens nicht zulässig.</w:t>
            </w:r>
          </w:p>
        </w:tc>
      </w:tr>
      <w:tr w:rsidR="00AE68D0" w14:paraId="00BAA30F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6D94CE48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VERHALTEN IM GEFAHRFALL</w:t>
            </w:r>
          </w:p>
        </w:tc>
      </w:tr>
      <w:tr w:rsidR="00AE68D0" w14:paraId="234E250C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130E3684" w14:textId="77777777" w:rsidR="00AE68D0" w:rsidRPr="00EF2C60" w:rsidRDefault="00FC46C7">
            <w:pPr>
              <w:spacing w:before="72" w:after="72"/>
              <w:ind w:left="1361"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Schadhafte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Leitern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müssen der Benutzung entzogen werden und dürfen erst nach sachgerechter Reparatur wieder benutz werden. Deshalb müssen Schäden dem/der Vorgesetzten gemeldet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werden</w:t>
            </w:r>
            <w:r w:rsidRPr="00EF2C60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AE68D0" w14:paraId="1C5A1372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07EFFA18" w14:textId="77777777" w:rsidR="00AE68D0" w:rsidRDefault="00AE68D0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</w:tr>
      <w:tr w:rsidR="00AE68D0" w14:paraId="715D9CBB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46A8B865" w14:textId="77777777" w:rsidR="00AE68D0" w:rsidRDefault="00EC4971" w:rsidP="00B65B88">
            <w:pPr>
              <w:spacing w:before="72" w:after="72"/>
              <w:ind w:left="57"/>
              <w:jc w:val="center"/>
              <w:rPr>
                <w:rFonts w:ascii="Arial" w:hAnsi="Arial"/>
                <w:sz w:val="22"/>
              </w:rPr>
            </w:pPr>
            <w:r>
              <w:object w:dxaOrig="8865" w:dyaOrig="8865" w14:anchorId="70B4B2DE">
                <v:shape id="_x0000_i1026" type="#_x0000_t75" style="width:49.5pt;height:49.5pt" o:ole="">
                  <v:imagedata r:id="rId7" o:title=""/>
                </v:shape>
                <o:OLEObject Type="Embed" ProgID="PBrush" ShapeID="_x0000_i1026" DrawAspect="Content" ObjectID="_1738579854" r:id="rId8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51B6D0D2" w14:textId="77777777" w:rsidR="00AE68D0" w:rsidRPr="00EF2C60" w:rsidRDefault="00FC46C7" w:rsidP="00EF2C60">
            <w:pPr>
              <w:numPr>
                <w:ilvl w:val="0"/>
                <w:numId w:val="2"/>
              </w:numPr>
              <w:spacing w:before="72"/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Ruhe bewahren.</w:t>
            </w:r>
          </w:p>
          <w:p w14:paraId="6D75ED71" w14:textId="77777777" w:rsidR="00FC46C7" w:rsidRPr="00EF2C60" w:rsidRDefault="00FC46C7" w:rsidP="00EF2C60">
            <w:pPr>
              <w:numPr>
                <w:ilvl w:val="0"/>
                <w:numId w:val="2"/>
              </w:numPr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Ersthelfer heranziehen.</w:t>
            </w:r>
          </w:p>
          <w:p w14:paraId="6022EA21" w14:textId="77777777" w:rsidR="00FC46C7" w:rsidRPr="00EF2C60" w:rsidRDefault="00FC46C7" w:rsidP="00EF2C60">
            <w:pPr>
              <w:numPr>
                <w:ilvl w:val="0"/>
                <w:numId w:val="2"/>
              </w:numPr>
              <w:ind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Notruf: 112</w:t>
            </w:r>
          </w:p>
          <w:p w14:paraId="367CEB5A" w14:textId="77777777" w:rsidR="00FC46C7" w:rsidRPr="00EF2C60" w:rsidRDefault="00FC46C7" w:rsidP="00EF2C60">
            <w:pPr>
              <w:numPr>
                <w:ilvl w:val="0"/>
                <w:numId w:val="2"/>
              </w:numPr>
              <w:spacing w:after="72"/>
              <w:ind w:right="1361"/>
              <w:rPr>
                <w:rFonts w:ascii="Arial" w:hAnsi="Arial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>Unfall</w:t>
            </w:r>
            <w:r w:rsidR="00EF2C60" w:rsidRPr="00EF2C60">
              <w:rPr>
                <w:rFonts w:ascii="Arial" w:hAnsi="Arial"/>
                <w:sz w:val="18"/>
                <w:szCs w:val="18"/>
              </w:rPr>
              <w:t xml:space="preserve"> </w:t>
            </w:r>
            <w:r w:rsidRPr="00EF2C60">
              <w:rPr>
                <w:rFonts w:ascii="Arial" w:hAnsi="Arial"/>
                <w:sz w:val="18"/>
                <w:szCs w:val="18"/>
              </w:rPr>
              <w:t>melden.</w:t>
            </w:r>
          </w:p>
        </w:tc>
      </w:tr>
      <w:tr w:rsidR="00AE68D0" w14:paraId="109A50B5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2F52A540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359F6F02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0B16FC09" w14:textId="77777777" w:rsidR="00AE68D0" w:rsidRPr="00EF2C60" w:rsidRDefault="00FC46C7" w:rsidP="00EF2C60">
            <w:pPr>
              <w:spacing w:before="72" w:after="48"/>
              <w:ind w:left="1361" w:right="1361"/>
              <w:rPr>
                <w:rFonts w:ascii="Arial" w:hAnsi="Arial"/>
                <w:sz w:val="18"/>
                <w:szCs w:val="18"/>
              </w:rPr>
            </w:pPr>
            <w:r w:rsidRPr="00EF2C60">
              <w:rPr>
                <w:rFonts w:ascii="Arial" w:hAnsi="Arial"/>
                <w:sz w:val="18"/>
                <w:szCs w:val="18"/>
              </w:rPr>
              <w:t xml:space="preserve">Leitern müssen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regelmäßig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entsprechend den Einsatzbedingungen von einer beauftragten Person auf ordnungsgemäßen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Zustand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kontrolliert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werden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. Die Zeitabstände für die Prüfung richten sich nach den Betriebsverhältnissen. Dies kann bei andauerndem, unter Umständen mit hoher Beanspruchung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verbundenem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Einsatz der </w:t>
            </w:r>
            <w:r w:rsidR="00EF2C60" w:rsidRPr="00EF2C60">
              <w:rPr>
                <w:rFonts w:ascii="Arial" w:hAnsi="Arial"/>
                <w:sz w:val="18"/>
                <w:szCs w:val="18"/>
              </w:rPr>
              <w:t>Leitern</w:t>
            </w:r>
            <w:r w:rsidRPr="00EF2C60">
              <w:rPr>
                <w:rFonts w:ascii="Arial" w:hAnsi="Arial"/>
                <w:sz w:val="18"/>
                <w:szCs w:val="18"/>
              </w:rPr>
              <w:t xml:space="preserve"> eine tägliche Prüfung bedeuten.</w:t>
            </w:r>
          </w:p>
          <w:p w14:paraId="0BCF954D" w14:textId="77777777" w:rsidR="00FC46C7" w:rsidRPr="00EF2C60" w:rsidRDefault="00FC46C7" w:rsidP="00EF2C60">
            <w:pPr>
              <w:tabs>
                <w:tab w:val="left" w:pos="9012"/>
              </w:tabs>
              <w:spacing w:after="72"/>
              <w:ind w:left="1361" w:right="1361"/>
              <w:rPr>
                <w:rFonts w:ascii="Arial" w:hAnsi="Arial"/>
                <w:b/>
                <w:sz w:val="22"/>
                <w:u w:val="single"/>
              </w:rPr>
            </w:pPr>
            <w:r w:rsidRPr="00EF2C60">
              <w:rPr>
                <w:rFonts w:ascii="Arial" w:hAnsi="Arial"/>
                <w:b/>
                <w:sz w:val="18"/>
                <w:szCs w:val="18"/>
              </w:rPr>
              <w:t>Leiterbeauftragter:</w:t>
            </w:r>
            <w:r w:rsidR="00EF2C60" w:rsidRPr="00EF2C6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F2C60" w:rsidRPr="00EF2C60">
              <w:rPr>
                <w:rFonts w:ascii="Arial" w:hAnsi="Arial"/>
                <w:b/>
                <w:sz w:val="18"/>
                <w:szCs w:val="18"/>
                <w:u w:val="single"/>
              </w:rPr>
              <w:tab/>
            </w:r>
          </w:p>
        </w:tc>
      </w:tr>
    </w:tbl>
    <w:p w14:paraId="407276DE" w14:textId="77777777" w:rsidR="00AE68D0" w:rsidRDefault="00AE68D0">
      <w:pPr>
        <w:rPr>
          <w:rFonts w:ascii="Arial" w:hAnsi="Arial"/>
        </w:rPr>
      </w:pPr>
    </w:p>
    <w:sectPr w:rsidR="00AE68D0" w:rsidSect="00EC4971">
      <w:pgSz w:w="11906" w:h="16838"/>
      <w:pgMar w:top="454" w:right="680" w:bottom="34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0351B"/>
    <w:multiLevelType w:val="hybridMultilevel"/>
    <w:tmpl w:val="08E23622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589"/>
    <w:multiLevelType w:val="hybridMultilevel"/>
    <w:tmpl w:val="2D3251E8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909852">
    <w:abstractNumId w:val="0"/>
  </w:num>
  <w:num w:numId="2" w16cid:durableId="816992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14476E"/>
    <w:rsid w:val="00184CD5"/>
    <w:rsid w:val="002145C5"/>
    <w:rsid w:val="00276A73"/>
    <w:rsid w:val="002F205F"/>
    <w:rsid w:val="0049724C"/>
    <w:rsid w:val="004B7896"/>
    <w:rsid w:val="00696B96"/>
    <w:rsid w:val="0086125D"/>
    <w:rsid w:val="00943D65"/>
    <w:rsid w:val="00A14C55"/>
    <w:rsid w:val="00A23BF9"/>
    <w:rsid w:val="00A729C5"/>
    <w:rsid w:val="00AE68D0"/>
    <w:rsid w:val="00AF61EA"/>
    <w:rsid w:val="00B65B88"/>
    <w:rsid w:val="00BF4656"/>
    <w:rsid w:val="00CA0A9A"/>
    <w:rsid w:val="00CC6891"/>
    <w:rsid w:val="00CD63A8"/>
    <w:rsid w:val="00D32365"/>
    <w:rsid w:val="00E7375F"/>
    <w:rsid w:val="00EC4971"/>
    <w:rsid w:val="00EE09A6"/>
    <w:rsid w:val="00EF2C60"/>
    <w:rsid w:val="00F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E28A8"/>
  <w15:chartTrackingRefBased/>
  <w15:docId w15:val="{83835940-F5F6-4277-A71C-5736DF8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1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3</cp:revision>
  <cp:lastPrinted>2007-07-05T09:48:00Z</cp:lastPrinted>
  <dcterms:created xsi:type="dcterms:W3CDTF">2023-02-22T12:56:00Z</dcterms:created>
  <dcterms:modified xsi:type="dcterms:W3CDTF">2023-02-22T13:04:00Z</dcterms:modified>
</cp:coreProperties>
</file>