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187B846D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6E95AD16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5F0997">
              <w:rPr>
                <w:rFonts w:ascii="Arial" w:hAnsi="Arial"/>
              </w:rPr>
              <w:t>0047</w:t>
            </w:r>
          </w:p>
          <w:p w14:paraId="7F1E0E1D" w14:textId="410F67B7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A67E01">
              <w:rPr>
                <w:rFonts w:ascii="Arial" w:hAnsi="Arial"/>
                <w:noProof/>
                <w:sz w:val="22"/>
              </w:rPr>
              <w:t>02.03.2023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68BE" w14:textId="4926F50F" w:rsidR="00AE68D0" w:rsidRDefault="00BB3A70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738F24C0" w14:textId="74500C73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5581D0E3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037671C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2BF2CEBD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559408C3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2B20FF67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06DBCDC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CF1E49B" w14:textId="77777777" w:rsidR="00AE68D0" w:rsidRDefault="00A01015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646A473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3971F900" w14:textId="77777777" w:rsidR="00AE68D0" w:rsidRPr="00F87764" w:rsidRDefault="00A6633C" w:rsidP="00F87764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2"/>
              </w:rPr>
            </w:pPr>
            <w:r w:rsidRPr="00F87764">
              <w:rPr>
                <w:rFonts w:ascii="Arial" w:hAnsi="Arial"/>
                <w:b/>
                <w:sz w:val="22"/>
              </w:rPr>
              <w:t xml:space="preserve">Diese Betriebsanweisung gilt für das </w:t>
            </w:r>
            <w:r w:rsidR="004015E4">
              <w:rPr>
                <w:rFonts w:ascii="Arial" w:hAnsi="Arial"/>
                <w:b/>
                <w:sz w:val="22"/>
              </w:rPr>
              <w:br/>
            </w:r>
            <w:r w:rsidRPr="00F87764">
              <w:rPr>
                <w:rFonts w:ascii="Arial" w:hAnsi="Arial"/>
                <w:b/>
                <w:sz w:val="22"/>
              </w:rPr>
              <w:t>sichere Benutzen von Stehleitern.</w:t>
            </w:r>
          </w:p>
        </w:tc>
      </w:tr>
      <w:tr w:rsidR="00AE68D0" w14:paraId="3EDBFDD6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5C3A2CF8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3A102D97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8A5C91F" w14:textId="77777777" w:rsidR="00AE68D0" w:rsidRDefault="00D4584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3CAD88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5" o:title=""/>
                </v:shape>
                <o:OLEObject Type="Embed" ProgID="PBrush" ShapeID="_x0000_i1025" DrawAspect="Content" ObjectID="_1739273897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2B215D97" w14:textId="77777777" w:rsidR="00AE68D0" w:rsidRDefault="00A6633C">
            <w:pPr>
              <w:spacing w:before="72"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unsachgemäßem Handhaben und Aufstellen von Leitern </w:t>
            </w:r>
            <w:r w:rsidR="00F87764">
              <w:rPr>
                <w:rFonts w:ascii="Arial" w:hAnsi="Arial"/>
                <w:sz w:val="22"/>
              </w:rPr>
              <w:t>besteht</w:t>
            </w:r>
            <w:r>
              <w:rPr>
                <w:rFonts w:ascii="Arial" w:hAnsi="Arial"/>
                <w:sz w:val="22"/>
              </w:rPr>
              <w:t xml:space="preserve"> die Gefahr von Absturz bzw. Umstürzen mit den Leitern.</w:t>
            </w:r>
          </w:p>
        </w:tc>
      </w:tr>
      <w:tr w:rsidR="00AE68D0" w14:paraId="573E17E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9B1DB7D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170FD95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04273244" w14:textId="77777777" w:rsidR="00AE68D0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Ungeeignete Aufstiege wie zum Beispiel Hocker, </w:t>
            </w:r>
            <w:r w:rsidR="00F87764">
              <w:rPr>
                <w:rFonts w:ascii="Arial" w:hAnsi="Arial"/>
                <w:sz w:val="22"/>
              </w:rPr>
              <w:t>Stühle</w:t>
            </w:r>
            <w:r>
              <w:rPr>
                <w:rFonts w:ascii="Arial" w:hAnsi="Arial"/>
                <w:sz w:val="22"/>
              </w:rPr>
              <w:t>, Regale etc. dürfen wegen der Absturzgefahr anstelle von Leitern nicht benutzt werden.</w:t>
            </w:r>
          </w:p>
          <w:p w14:paraId="6EC00329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 dem Gebrauch der </w:t>
            </w:r>
            <w:r w:rsidR="00F87764">
              <w:rPr>
                <w:rFonts w:ascii="Arial" w:hAnsi="Arial"/>
                <w:sz w:val="22"/>
              </w:rPr>
              <w:t>Leiter</w:t>
            </w:r>
            <w:r>
              <w:rPr>
                <w:rFonts w:ascii="Arial" w:hAnsi="Arial"/>
                <w:sz w:val="22"/>
              </w:rPr>
              <w:t xml:space="preserve"> auf Eignung und Beschaffenheit achten.</w:t>
            </w:r>
          </w:p>
          <w:p w14:paraId="57463F65" w14:textId="767A8283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Stehleitern dürfen nur zu den Zwecken benutzt werden, für die diese nach </w:t>
            </w:r>
            <w:r w:rsidR="00A67E01">
              <w:rPr>
                <w:rFonts w:ascii="Arial" w:hAnsi="Arial"/>
                <w:sz w:val="22"/>
              </w:rPr>
              <w:t>ihrer</w:t>
            </w:r>
            <w:r>
              <w:rPr>
                <w:rFonts w:ascii="Arial" w:hAnsi="Arial"/>
                <w:sz w:val="22"/>
              </w:rPr>
              <w:t xml:space="preserve"> Bauart bestimmt sind. Die Verwendung einer Stehleiter als Anlegeleiter ist aufgrund der Gefahr des Wegrutschens der Leiterfüße, des Leiterkopfes und der Beschädigung der Gelenke unzulässig.</w:t>
            </w:r>
          </w:p>
          <w:p w14:paraId="3CFAD724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nur in vollständig ausgeklapptem Zustand besteigen.</w:t>
            </w:r>
          </w:p>
          <w:p w14:paraId="7E1C448F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nur mit gespannten Spreizsicherungen bzw. vollständig abgesenktem Brückenheber benutzen. Es kann sonst zum ruckartigen Auseinandergleiten der Leiterschenkel kommen, was zum Abstürzen des Leiterbenutzers führen kann.</w:t>
            </w:r>
          </w:p>
          <w:p w14:paraId="1D7F22E7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Stehleitern nicht ungesichert in Verkehrswegen aufstellen. Bei Arbeiten auf Verkehrswegen zum Beispiel </w:t>
            </w:r>
            <w:r w:rsidR="00F87764">
              <w:rPr>
                <w:rFonts w:ascii="Arial" w:hAnsi="Arial"/>
                <w:sz w:val="22"/>
              </w:rPr>
              <w:t xml:space="preserve">in </w:t>
            </w:r>
            <w:proofErr w:type="spellStart"/>
            <w:r w:rsidR="00F87764">
              <w:rPr>
                <w:rFonts w:ascii="Arial" w:hAnsi="Arial"/>
                <w:sz w:val="22"/>
              </w:rPr>
              <w:t>Türnähe</w:t>
            </w:r>
            <w:proofErr w:type="spellEnd"/>
            <w:r>
              <w:rPr>
                <w:rFonts w:ascii="Arial" w:hAnsi="Arial"/>
                <w:sz w:val="22"/>
              </w:rPr>
              <w:t xml:space="preserve"> oder Verkaufsbereichen mit entsprechend hohem Personenaufkommen, muss die Leiter gegen </w:t>
            </w:r>
            <w:r w:rsidR="00F87764">
              <w:rPr>
                <w:rFonts w:ascii="Arial" w:hAnsi="Arial"/>
                <w:sz w:val="22"/>
              </w:rPr>
              <w:t>Umstürzen</w:t>
            </w:r>
            <w:r>
              <w:rPr>
                <w:rFonts w:ascii="Arial" w:hAnsi="Arial"/>
                <w:sz w:val="22"/>
              </w:rPr>
              <w:t>, zum Beispiel durch eine zweite Person, gesichert werden.</w:t>
            </w:r>
          </w:p>
          <w:p w14:paraId="316AC29F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 schadhaften Leitern benutzen.</w:t>
            </w:r>
          </w:p>
          <w:p w14:paraId="67B92B45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nur auf festem Untergrund aufstellen. Leiterfüße nicht auf Kisten, Steinen, Steinstapeln, Tischen oder unbefestigtem Untergrund aufstellen.</w:t>
            </w:r>
          </w:p>
          <w:p w14:paraId="45BDEA48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von Stehleitern übersteigen, da Stehleitern dabei zur Seite umkippen können.</w:t>
            </w:r>
          </w:p>
          <w:p w14:paraId="21D19B6F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Maximale </w:t>
            </w:r>
            <w:proofErr w:type="spellStart"/>
            <w:r>
              <w:rPr>
                <w:rFonts w:ascii="Arial" w:hAnsi="Arial"/>
                <w:sz w:val="22"/>
              </w:rPr>
              <w:t>Stieghöhe</w:t>
            </w:r>
            <w:proofErr w:type="spellEnd"/>
            <w:r>
              <w:rPr>
                <w:rFonts w:ascii="Arial" w:hAnsi="Arial"/>
                <w:sz w:val="22"/>
              </w:rPr>
              <w:t xml:space="preserve"> einer Stehleiter berücksichtigen. Haltebügel von Stehleitern mit Plattform und die jeweils oberste Sprosse von beidseitig </w:t>
            </w:r>
            <w:proofErr w:type="spellStart"/>
            <w:r>
              <w:rPr>
                <w:rFonts w:ascii="Arial" w:hAnsi="Arial"/>
                <w:sz w:val="22"/>
              </w:rPr>
              <w:t>besteigbaren</w:t>
            </w:r>
            <w:proofErr w:type="spellEnd"/>
            <w:r>
              <w:rPr>
                <w:rFonts w:ascii="Arial" w:hAnsi="Arial"/>
                <w:sz w:val="22"/>
              </w:rPr>
              <w:t xml:space="preserve"> Sprossenstehleitern dürfen nicht bestiegen werden.</w:t>
            </w:r>
          </w:p>
          <w:p w14:paraId="0144AB8C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Seitliches Hinauslehnen kann in Verbindung mit den bei jeder Tätigkeit mehr oder weniger stark auftretenden Kräften zum Umkippen der Leiter führen. Deshalb gilt es – gegebenenfalls durch mehrfaches Umstellen der Leiter bei umfangreichen Tätigkeiten – die Leiter möglichst direkt vor der Arbeitsstelle aufzustellen. Besonders bei Stehleitern ist es wichtig, dass nur nach vorn und nicht quer zur Steigrichtung gearbeitet wird.</w:t>
            </w:r>
          </w:p>
          <w:p w14:paraId="4275D281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dürfen nur mit Schuhen begangen werden, die dem Fuß genügend Halt bieten. Schuhe ohne Fersenriemen sind zum Beispiel nicht geeignet.</w:t>
            </w:r>
          </w:p>
          <w:p w14:paraId="3D1984FE" w14:textId="77777777" w:rsidR="00A6633C" w:rsidRDefault="00A6633C" w:rsidP="004015E4">
            <w:pPr>
              <w:numPr>
                <w:ilvl w:val="0"/>
                <w:numId w:val="1"/>
              </w:numPr>
              <w:tabs>
                <w:tab w:val="clear" w:pos="1718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Leitertransport: Stehleitern trägt man am sichersten zusammengeklappt in senkrechter Lage längs des </w:t>
            </w:r>
            <w:r w:rsidR="00F87764">
              <w:rPr>
                <w:rFonts w:ascii="Arial" w:hAnsi="Arial"/>
                <w:sz w:val="22"/>
              </w:rPr>
              <w:t>Körpers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F87764">
              <w:rPr>
                <w:rFonts w:ascii="Arial" w:hAnsi="Arial"/>
                <w:sz w:val="22"/>
              </w:rPr>
              <w:t>Die Mitnahme von Stehleitern auf Fahrtreppen und Fahrsteigen ist wegen der Gefahr des Verkantens und Hängenbleibens nicht zulässig.</w:t>
            </w:r>
          </w:p>
        </w:tc>
      </w:tr>
    </w:tbl>
    <w:p w14:paraId="5610D87C" w14:textId="77777777" w:rsidR="004015E4" w:rsidRDefault="004015E4"/>
    <w:p w14:paraId="5F4DE1A4" w14:textId="77777777" w:rsidR="004015E4" w:rsidRDefault="004015E4" w:rsidP="004015E4">
      <w:pPr>
        <w:jc w:val="right"/>
      </w:pPr>
      <w:r>
        <w:t>…</w:t>
      </w:r>
    </w:p>
    <w:p w14:paraId="49D62D30" w14:textId="77777777" w:rsidR="004015E4" w:rsidRDefault="004015E4" w:rsidP="004015E4">
      <w:pPr>
        <w:jc w:val="right"/>
      </w:pPr>
    </w:p>
    <w:p w14:paraId="389077C2" w14:textId="77777777" w:rsidR="004015E4" w:rsidRPr="004015E4" w:rsidRDefault="004015E4" w:rsidP="004015E4">
      <w:pPr>
        <w:jc w:val="center"/>
        <w:rPr>
          <w:rFonts w:ascii="Arial" w:hAnsi="Arial" w:cs="Arial"/>
          <w:sz w:val="22"/>
          <w:szCs w:val="22"/>
        </w:rPr>
      </w:pPr>
      <w:r w:rsidRPr="004015E4">
        <w:rPr>
          <w:rFonts w:ascii="Arial" w:hAnsi="Arial" w:cs="Arial"/>
          <w:sz w:val="22"/>
          <w:szCs w:val="22"/>
        </w:rPr>
        <w:lastRenderedPageBreak/>
        <w:t>Seite</w:t>
      </w:r>
      <w:r>
        <w:rPr>
          <w:rFonts w:ascii="Arial" w:hAnsi="Arial" w:cs="Arial"/>
          <w:sz w:val="22"/>
          <w:szCs w:val="22"/>
        </w:rPr>
        <w:t xml:space="preserve"> </w:t>
      </w:r>
      <w:r w:rsidRPr="004015E4">
        <w:rPr>
          <w:rFonts w:ascii="Arial" w:hAnsi="Arial" w:cs="Arial"/>
          <w:sz w:val="22"/>
          <w:szCs w:val="22"/>
        </w:rPr>
        <w:t>2</w:t>
      </w:r>
    </w:p>
    <w:p w14:paraId="194F27D8" w14:textId="77777777" w:rsidR="004015E4" w:rsidRDefault="004015E4" w:rsidP="004015E4">
      <w:pPr>
        <w:jc w:val="right"/>
      </w:pPr>
    </w:p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9486"/>
      </w:tblGrid>
      <w:tr w:rsidR="00AE68D0" w14:paraId="135D1DB6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CB83F32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A6633C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7BCAE268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76497999" w14:textId="77777777" w:rsidR="00AE68D0" w:rsidRDefault="00A6633C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Schadhafte Leitern müssen der Benutzung entzogen werden und dürfen erst nach sachgerechter Reparatur wieder benutzt werden. Deshalb müssen Schäden dem/der Vorgesetzten gemeldet werden.</w:t>
            </w:r>
          </w:p>
        </w:tc>
      </w:tr>
      <w:tr w:rsidR="00AE68D0" w14:paraId="4B2BB00E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315CAB7D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3E4199D9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660DD429" w14:textId="77777777" w:rsidR="00AE68D0" w:rsidRDefault="00D4584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847A138">
                <v:shape id="_x0000_i1026" type="#_x0000_t75" style="width:55.5pt;height:55.5pt" o:ole="">
                  <v:imagedata r:id="rId7" o:title=""/>
                </v:shape>
                <o:OLEObject Type="Embed" ProgID="PBrush" ShapeID="_x0000_i1026" DrawAspect="Content" ObjectID="_1739273898" r:id="rId8"/>
              </w:object>
            </w:r>
          </w:p>
        </w:tc>
        <w:tc>
          <w:tcPr>
            <w:tcW w:w="9486" w:type="dxa"/>
            <w:tcBorders>
              <w:top w:val="nil"/>
              <w:bottom w:val="nil"/>
              <w:right w:val="single" w:sz="48" w:space="0" w:color="0000FF"/>
            </w:tcBorders>
          </w:tcPr>
          <w:p w14:paraId="3B91293F" w14:textId="77777777" w:rsidR="00AE68D0" w:rsidRDefault="00A6633C" w:rsidP="004015E4">
            <w:pPr>
              <w:numPr>
                <w:ilvl w:val="0"/>
                <w:numId w:val="2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Ruhe bewahren.</w:t>
            </w:r>
          </w:p>
          <w:p w14:paraId="4AE8357F" w14:textId="77777777" w:rsidR="00A6633C" w:rsidRDefault="00A6633C" w:rsidP="004015E4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49591A49" w14:textId="77777777" w:rsidR="00A6633C" w:rsidRDefault="00A6633C" w:rsidP="004015E4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7A52317E" w14:textId="77777777" w:rsidR="00A6633C" w:rsidRDefault="00A6633C" w:rsidP="004015E4">
            <w:pPr>
              <w:numPr>
                <w:ilvl w:val="0"/>
                <w:numId w:val="2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AE68D0" w14:paraId="2A8DBBDE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75B7E309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71D4D602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1A6D0732" w14:textId="77777777" w:rsidR="00AE68D0" w:rsidRDefault="00A6633C" w:rsidP="004015E4">
            <w:pPr>
              <w:spacing w:before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Leitern müssen regelmäßig entsprechend den </w:t>
            </w:r>
            <w:r w:rsidR="004015E4">
              <w:rPr>
                <w:rFonts w:ascii="Arial" w:hAnsi="Arial"/>
                <w:sz w:val="22"/>
              </w:rPr>
              <w:t>Einsatzbedingungen</w:t>
            </w:r>
            <w:r>
              <w:rPr>
                <w:rFonts w:ascii="Arial" w:hAnsi="Arial"/>
                <w:sz w:val="22"/>
              </w:rPr>
              <w:t xml:space="preserve"> von einer beauftragten Person auf ordnungsgemäßen Zustand kontrolliert werden.</w:t>
            </w:r>
          </w:p>
          <w:p w14:paraId="63B9D0F2" w14:textId="77777777" w:rsidR="00A6633C" w:rsidRDefault="00A6633C" w:rsidP="004015E4">
            <w:pPr>
              <w:tabs>
                <w:tab w:val="left" w:pos="8306"/>
              </w:tabs>
              <w:spacing w:before="48" w:after="72"/>
              <w:ind w:left="1361" w:right="1361"/>
              <w:rPr>
                <w:rFonts w:ascii="Arial" w:hAnsi="Arial"/>
                <w:b/>
                <w:sz w:val="22"/>
                <w:u w:val="single"/>
              </w:rPr>
            </w:pPr>
            <w:r w:rsidRPr="004015E4">
              <w:rPr>
                <w:rFonts w:ascii="Arial" w:hAnsi="Arial"/>
                <w:b/>
                <w:sz w:val="22"/>
              </w:rPr>
              <w:t xml:space="preserve">Leiterbeauftragter: </w:t>
            </w:r>
            <w:r w:rsidRPr="004015E4">
              <w:rPr>
                <w:rFonts w:ascii="Arial" w:hAnsi="Arial"/>
                <w:b/>
                <w:sz w:val="22"/>
                <w:u w:val="single"/>
              </w:rPr>
              <w:tab/>
            </w:r>
          </w:p>
          <w:p w14:paraId="6A91AE33" w14:textId="77777777" w:rsidR="004015E4" w:rsidRPr="004015E4" w:rsidRDefault="004015E4" w:rsidP="004015E4">
            <w:pPr>
              <w:tabs>
                <w:tab w:val="left" w:pos="8306"/>
              </w:tabs>
              <w:spacing w:after="9000"/>
              <w:ind w:left="1361" w:right="1361"/>
              <w:rPr>
                <w:rFonts w:ascii="Arial" w:hAnsi="Arial"/>
                <w:b/>
                <w:sz w:val="22"/>
                <w:u w:val="single"/>
              </w:rPr>
            </w:pPr>
          </w:p>
        </w:tc>
      </w:tr>
    </w:tbl>
    <w:p w14:paraId="0D22F1C2" w14:textId="77777777" w:rsidR="00AE68D0" w:rsidRDefault="00AE68D0">
      <w:pPr>
        <w:rPr>
          <w:rFonts w:ascii="Arial" w:hAnsi="Arial"/>
        </w:rPr>
      </w:pPr>
    </w:p>
    <w:sectPr w:rsidR="00AE68D0" w:rsidSect="004015E4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BE0"/>
    <w:multiLevelType w:val="hybridMultilevel"/>
    <w:tmpl w:val="865AB9F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0A6D293D"/>
    <w:multiLevelType w:val="hybridMultilevel"/>
    <w:tmpl w:val="87C8A3B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2802">
    <w:abstractNumId w:val="0"/>
  </w:num>
  <w:num w:numId="2" w16cid:durableId="36255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87CBC"/>
    <w:rsid w:val="0014476E"/>
    <w:rsid w:val="00276A73"/>
    <w:rsid w:val="0029535E"/>
    <w:rsid w:val="002F205F"/>
    <w:rsid w:val="00315283"/>
    <w:rsid w:val="004015E4"/>
    <w:rsid w:val="004B7896"/>
    <w:rsid w:val="005F0997"/>
    <w:rsid w:val="00696B96"/>
    <w:rsid w:val="007D040E"/>
    <w:rsid w:val="0086125D"/>
    <w:rsid w:val="00943D65"/>
    <w:rsid w:val="00A01015"/>
    <w:rsid w:val="00A6633C"/>
    <w:rsid w:val="00A67E01"/>
    <w:rsid w:val="00A729C5"/>
    <w:rsid w:val="00AE68D0"/>
    <w:rsid w:val="00BB3A70"/>
    <w:rsid w:val="00CA0A9A"/>
    <w:rsid w:val="00D32365"/>
    <w:rsid w:val="00D45842"/>
    <w:rsid w:val="00E85F03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3BC5A"/>
  <w15:chartTrackingRefBased/>
  <w15:docId w15:val="{F8BEF86B-38E3-44C0-A179-304ACB91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4</cp:revision>
  <cp:lastPrinted>2006-11-29T09:16:00Z</cp:lastPrinted>
  <dcterms:created xsi:type="dcterms:W3CDTF">2023-02-22T12:57:00Z</dcterms:created>
  <dcterms:modified xsi:type="dcterms:W3CDTF">2023-03-02T13:52:00Z</dcterms:modified>
</cp:coreProperties>
</file>