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8ab4b27-15ba-408b-956f-fa6dbe181f3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8ab4b27-15ba-408b-956f-fa6dbe181f3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8ab4b27-15ba-408b-956f-fa6dbe181f3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8ab4b27-15ba-408b-956f-fa6dbe181f3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8ab4b27-15ba-408b-956f-fa6dbe181f3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8ab4b27-15ba-408b-956f-fa6dbe181f3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8ab4b27-15ba-408b-956f-fa6dbe181f3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8ab4b27-15ba-408b-956f-fa6dbe181f3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8ab4b27-15ba-408b-956f-fa6dbe181f3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8ab4b27-15ba-408b-956f-fa6dbe181f3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8ab4b27-15ba-408b-956f-fa6dbe181f3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4202df632324f3e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Handbetätigung von Ventilen muss von außerhalb des gesicherten Gefahrbereichs möglich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 mit oder ohne Zuhaltung,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Blockwendevorrichtung (Sägelinie)</Arbeitsblatt_MAG>
  <Arbeitsblatt_Name>Blockwendevorrichtung (Sägelinie)</Arbeitsblatt_Name>
</ArbeitsblattContext>
</file>

<file path=customXML/itemProps7.xml><?xml version="1.0" encoding="utf-8"?>
<ds:datastoreItem xmlns:ds="http://schemas.openxmlformats.org/officeDocument/2006/customXml" ds:itemID="{a8ab4b27-15ba-408b-956f-fa6dbe181f3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