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3b5ba33-d907-4282-8d21-8acc069cfe18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3b5ba33-d907-4282-8d21-8acc069cfe18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3b5ba33-d907-4282-8d21-8acc069cfe18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3b5ba33-d907-4282-8d21-8acc069cfe18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3b5ba33-d907-4282-8d21-8acc069cfe18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3b5ba33-d907-4282-8d21-8acc069cfe18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3b5ba33-d907-4282-8d21-8acc069cfe18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3b5ba33-d907-4282-8d21-8acc069cfe18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3b5ba33-d907-4282-8d21-8acc069cfe18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3b5ba33-d907-4282-8d21-8acc069cfe18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3b5ba33-d907-4282-8d21-8acc069cfe18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53f5946386a4645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 wirkungsvolle Holzstaubabsauganlage anschließen, Vorgaben des Herstellers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staubintensiven Arbeitsgängen Ableitbleche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Ggfs. Partikelmasken P2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im sorgsamen Umgang mit Werkzeugen und Schneiden, insbesondere bei zusammengesetzten Werkzeugen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Es muss zumindest ein lückenloser, mehrlagiger und bis auf die Werkstückaufspannfläche herunterreichender Lamellenvorhang vorhanden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Schutzeinrichtung muss vorhanden und wirksam sein (z. B. Umzäunungen mit verriegelter Zugangstür, Bumper, Trittmatten, Lichtvorhänge, Kapselung)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Sicherstellen, dass Schutzeinrichtungen nicht hintertreten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Verschlissene oder fehlende Lamellenvorhänge nur durch vom Hersteller empfohlene Vorhänge ersetzen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Neuaufstellung lärmdämmende Maßnahmen einplanen, z. B. Kapselung, schallabsorbierende Wände oder Aufstellung im abgetrennten Bereich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Bedienpersonen von Maschinen müssen ein Mindestalter von 18 Jahre haben. Ausnahme nur dann, wenn zum Erreichen des Lehrziels notwendig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Überprüfung auf Vollständigkeit der Lamellenvorhänge und Wirksamkeit der peripheren Schutzeinrichtungen durch Bedienperson der Maschine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CNC-Oberfräsmaschine/CNC-Bearbeitungszentrum</Arbeitsblatt_MAG>
  <Arbeitsblatt_Name>CNC-Oberfräsmaschine/CNC-Bearbeitungszentrum</Arbeitsblatt_Name>
</ArbeitsblattContext>
</file>

<file path=customXML/itemProps7.xml><?xml version="1.0" encoding="utf-8"?>
<ds:datastoreItem xmlns:ds="http://schemas.openxmlformats.org/officeDocument/2006/customXml" ds:itemID="{f3b5ba33-d907-4282-8d21-8acc069cfe18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