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19bdcf0-771c-4d8c-89cd-bebb955233b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19bdcf0-771c-4d8c-89cd-bebb955233b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19bdcf0-771c-4d8c-89cd-bebb955233b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19bdcf0-771c-4d8c-89cd-bebb955233b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19bdcf0-771c-4d8c-89cd-bebb955233b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19bdcf0-771c-4d8c-89cd-bebb955233b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19bdcf0-771c-4d8c-89cd-bebb955233b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19bdcf0-771c-4d8c-89cd-bebb955233b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19bdcf0-771c-4d8c-89cd-bebb955233b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19bdcf0-771c-4d8c-89cd-bebb955233b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19bdcf0-771c-4d8c-89cd-bebb955233b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ace792ffb044487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innerhalb der Maschine Standflächenelemente nach Vorgabe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Handbetätigung von Ventilen muss von außerhalb des gesicherten Gefahrbereichs (z. B. für den Klopfmechanismus zum Lösen angefrorener Seitenbretter) möglich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das Betreten, z. B. beim Entstören, genügend Arbeitsraum zwischen den Maschinen und Anlagenteilen oder der Umzäunung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Handbetätigung von Ventilen muss von außerhalb des gesicherten Gefahrbereichs (z. B. für den Klopfmechanismus zum Lösen angefrorener Seitenbretter) möglich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Maßnahmen, die ein Halten der Werkstücke auch nach Energieausfall am Druckrollenportal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Maßnahmen, die ein Halten der Werkstücke auch nach Energieausfall am Druckrollenportal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Druckrollenportal mit Seitenwarenabscheidung</Arbeitsblatt_MAG>
  <Arbeitsblatt_Name>Druckrollenportal mit Seitenwarenabscheidung</Arbeitsblatt_Name>
</ArbeitsblattContext>
</file>

<file path=customXML/itemProps7.xml><?xml version="1.0" encoding="utf-8"?>
<ds:datastoreItem xmlns:ds="http://schemas.openxmlformats.org/officeDocument/2006/customXml" ds:itemID="{819bdcf0-771c-4d8c-89cd-bebb955233b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