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84694347-092f-4fe2-b474-61534c33f9bf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84694347-092f-4fe2-b474-61534c33f9bf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84694347-092f-4fe2-b474-61534c33f9bf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84694347-092f-4fe2-b474-61534c33f9bf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84694347-092f-4fe2-b474-61534c33f9bf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84694347-092f-4fe2-b474-61534c33f9bf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84694347-092f-4fe2-b474-61534c33f9bf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84694347-092f-4fe2-b474-61534c33f9bf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84694347-092f-4fe2-b474-61534c33f9bf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84694347-092f-4fe2-b474-61534c33f9bf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84694347-092f-4fe2-b474-61534c33f9bf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2b7b4fff38ec4f65" /></Relationships>
</file>

<file path=customXML/item7.xml><?xml version="1.0" encoding="utf-8"?>
<!--Generiert am 13.12.2023 23:25:00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Werkstücke fest einspannen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Eingriff in Schneidebene (z. B. durch Zweihandschaltung, ortsbindende Befehlseinrichtung) verhindern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Zutritt in Gefahrenbereich der Maschine durch Einhausung mit verriegelter Zugangstüre (Zutrittshäufigkeit öfter als einmal pro Woche) verhindern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Das Werkzeug (Sägeblatt/Fräser) geht nach Beendigung des Bearbeitungsvorganges selbständig in die Ausgangsstellung zurück und ist in Ausgangsstellung vollständig verkleidet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Durch z. B. Zweihandschaltung, ortsbindende Befehlseinrichtung sichern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Kontrolliert bewegte ungeschützte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Schutzbrille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Unkontrolliert bewegte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Betriebsanweisung mit Hilfe der Betriebsanleitung des Herstellers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Bedienung nur durch geeignete Beschäftigte, die mindestens 18 Jahre alt sind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Regelmäßige Prüfung des Arbeitsmittels durch eine zur Prüfung befähigte Person durchführen; Prüfintervalle, Prüfumfänge, Qualifikation des Prüfpersonals festlegen; Prüfungen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Eckenputzautomat</Arbeitsblatt_MAG>
  <Arbeitsblatt_Name>Eckenputzautomat</Arbeitsblatt_Name>
</ArbeitsblattContext>
</file>

<file path=customXML/itemProps7.xml><?xml version="1.0" encoding="utf-8"?>
<ds:datastoreItem xmlns:ds="http://schemas.openxmlformats.org/officeDocument/2006/customXml" ds:itemID="{84694347-092f-4fe2-b474-61534c33f9bf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