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b0d8575a-27f6-42ce-b462-2a6d222640e5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b0d8575a-27f6-42ce-b462-2a6d222640e5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b0d8575a-27f6-42ce-b462-2a6d222640e5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b0d8575a-27f6-42ce-b462-2a6d222640e5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b0d8575a-27f6-42ce-b462-2a6d222640e5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b0d8575a-27f6-42ce-b462-2a6d222640e5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b0d8575a-27f6-42ce-b462-2a6d222640e5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b0d8575a-27f6-42ce-b462-2a6d222640e5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b0d8575a-27f6-42ce-b462-2a6d222640e5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b0d8575a-27f6-42ce-b462-2a6d222640e5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b0d8575a-27f6-42ce-b462-2a6d222640e5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c26c9ff61c364363" /></Relationships>
</file>

<file path=customXML/item7.xml><?xml version="1.0" encoding="utf-8"?>
<!--Generiert am 13.12.2023 23:25:08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Gefahrbereichssicherung die Schnittstellen zu angrenzenden Bereichen z. B.  durch feststehende trennende Schutzeinrichtungen mit begrenzter Materialdurchlassöffnungen von max. 500 mm Höhe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Gefahrbereichssicherung erfolgt durch feste trennende Schutzeinrichtungen, verriegelte bewegliche trennende Schutzeinrichtungen mit oder ohne elektrische Zuhaltung oder durch nichttrennende Schutzeinrichtungen mit wirksamer Abschaltfunktion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Schnittstellen zwischen verschiedenen Gefahrbereichen so ausführen, dass ein unbeabsichtigtes Erreichen angrenzender Gefahrbereiche vermieden wird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Erreichen angrenzender Gefahrbereiche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vorhandener Gefahrbereichssicherung wird ein unbefugtes, irrtümliches oder unerwartetes Ingangsetzen der Anlage durch ein Sicherungssystem beim Eintreten in den Gefahrbereich (z.B. persönliches Schloss, LoTo-System, Schlüsseltransfersystem) vermieden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Gefahrbereichssicherung heißt: Das Erreichen des Gefahrbereichs muss so lange verhindert sein, bis ein sicherer Anlagenzustand hergestellt wurde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vorhandener Gefahrbereichssicherung wird ein unbefugtes, irrtümliches oder unerwartetes Ingangsetzen der Anlage durch ein Sicherungssystem beim Eintreten in den Gefahrbereich (z.B. persönliches Schloss, LoTo-System, Schlüsseltransfersystem) vermieden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Gefahrbereichssicherung heißt: Das Erreichen des Gefahrbereichs muss so lange verhindert sein, bis ein sicherer Anlagenzustand hergestellt wurde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Gefahrbereichssicherung Sägewerke</Arbeitsblatt_MAG>
  <Arbeitsblatt_Name>Gefahrbereichssicherung Sägewerke</Arbeitsblatt_Name>
</ArbeitsblattContext>
</file>

<file path=customXML/itemProps7.xml><?xml version="1.0" encoding="utf-8"?>
<ds:datastoreItem xmlns:ds="http://schemas.openxmlformats.org/officeDocument/2006/customXml" ds:itemID="{b0d8575a-27f6-42ce-b462-2a6d222640e5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