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4ea87bc-2477-421f-9c95-5fbb24c2706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4ea87bc-2477-421f-9c95-5fbb24c2706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4ea87bc-2477-421f-9c95-5fbb24c2706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4ea87bc-2477-421f-9c95-5fbb24c2706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4ea87bc-2477-421f-9c95-5fbb24c2706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4ea87bc-2477-421f-9c95-5fbb24c2706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4ea87bc-2477-421f-9c95-5fbb24c2706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4ea87bc-2477-421f-9c95-5fbb24c2706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4ea87bc-2477-421f-9c95-5fbb24c2706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4ea87bc-2477-421f-9c95-5fbb24c2706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4ea87bc-2477-421f-9c95-5fbb24c2706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9e8fe3e155e4494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Abstand zwischen Spannzylinder und Werkstück auf 4 mm begrenzen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Auslösung des Pressdruckes erst nach erneuter Befehlseingabe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Begrenzung der Schließgeschwindigkeit auf 25 mm/s in Verbindung mit einer Tippschalteinrichtung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automatisierten Rahmen- und Korpuspressen ist eine Zugriffssicherung an allen Seiten (z. B. Lichtvorhang, Verkleidung, Trittschaltmatten)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Schließgeschwindigkeit &gt; 25 mm/s kann als alternative Schutzmaßnahme die Vorspannkraft auf max. 50 N begrenzt werden Auslösung des Pressdruckes erst nach erneuter Befehlseingabe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Schließgeschwindigkeit &gt; 25 mm/s sind Schutzeinrichtungen erforderlich, z. B. Zweihandschalteinrichtung, Lichtvorhang oder Kontaktmatte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Mindestabstand von 25 mm zwischen Spannplatte und Zylinder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Spann- und Halteeinrichtungen gegen Herausfallen sichern (z. B. formschlüssige Sicherung des Druckzylinders)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Rahmen- und Korpuspresse</Arbeitsblatt_MAG>
  <Arbeitsblatt_Name>Rahmen- und Korpuspresse</Arbeitsblatt_Name>
</ArbeitsblattContext>
</file>

<file path=customXML/itemProps7.xml><?xml version="1.0" encoding="utf-8"?>
<ds:datastoreItem xmlns:ds="http://schemas.openxmlformats.org/officeDocument/2006/customXml" ds:itemID="{54ea87bc-2477-421f-9c95-5fbb24c2706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