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d2547c20-6d1e-4ac0-91df-f8025a62428f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d2547c20-6d1e-4ac0-91df-f8025a62428f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d2547c20-6d1e-4ac0-91df-f8025a62428f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d2547c20-6d1e-4ac0-91df-f8025a62428f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d2547c20-6d1e-4ac0-91df-f8025a62428f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d2547c20-6d1e-4ac0-91df-f8025a62428f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d2547c20-6d1e-4ac0-91df-f8025a62428f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d2547c20-6d1e-4ac0-91df-f8025a62428f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d2547c20-6d1e-4ac0-91df-f8025a62428f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d2547c20-6d1e-4ac0-91df-f8025a62428f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d2547c20-6d1e-4ac0-91df-f8025a62428f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2d800388dde040b1" /></Relationships>
</file>

<file path=customXML/item7.xml><?xml version="1.0" encoding="utf-8"?>
<!--Generiert am 06.02.2025 01:32:35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des Arbeitsmittels durch eine zur Prüfung befähigte Person durchführen; Prüfintervalle, Prüfumfänge, Qualifikation des Prüfpersonals festlegen; Prüfungen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Geeigneter Aufstellungsort bzw. brennbare oder entzündliche Gegenstände entfernen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Brennbare Feststoffe, Flüssigkeiten, Gase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Während der Schlüsselbearbeitung Gehörschutz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Vollgekapselte Maschinen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Lärm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Betriebs- und Aufstellangaben des Herstellers beachten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Gekapselte Maschinen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Werkstück- und Werkzeugwechsel nur bei ausgeschalteter Maschine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Handbindung durch Bedienelemente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Metallspäne nicht wegblasen, sondern absaugen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Kontrolliert bewegte ungeschützte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Maschine fest installieren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Beim Werkzeugwechsel Schnittschutzhandschuhe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Teile mit gefährlichen Oberflächen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Insbesondere bei der Nacharbeit mit Bürstwerkzeugen Schutzbrille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Unkontrolliert bewegte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Atemschutz P2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Einatmen von Gefahrstoffen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Schlüsselschleif-/Fräsmaschinen</Arbeitsblatt_MAG>
  <Arbeitsblatt_Name>Schlüsselschleif-/Fräsmaschinen</Arbeitsblatt_Name>
</ArbeitsblattContext>
</file>

<file path=customXML/itemProps7.xml><?xml version="1.0" encoding="utf-8"?>
<ds:datastoreItem xmlns:ds="http://schemas.openxmlformats.org/officeDocument/2006/customXml" ds:itemID="{d2547c20-6d1e-4ac0-91df-f8025a62428f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