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42a91f1-1337-4c68-85cc-04306bbdc4c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42a91f1-1337-4c68-85cc-04306bbdc4c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42a91f1-1337-4c68-85cc-04306bbdc4c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42a91f1-1337-4c68-85cc-04306bbdc4c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42a91f1-1337-4c68-85cc-04306bbdc4c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42a91f1-1337-4c68-85cc-04306bbdc4c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42a91f1-1337-4c68-85cc-04306bbdc4c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42a91f1-1337-4c68-85cc-04306bbdc4c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42a91f1-1337-4c68-85cc-04306bbdc4c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42a91f1-1337-4c68-85cc-04306bbdc4c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42a91f1-1337-4c68-85cc-04306bbdc4c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e90373cf7894788" /></Relationships>
</file>

<file path=customXML/item7.xml><?xml version="1.0" encoding="utf-8"?>
<!--Generiert am 13.12.2023 23:25:0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Förderebene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Förderebene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Zugangstüren;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Sicherheitsabstand von mindestens 0,5 m zwischen Paket und festen Teilen der Umgebung (z. B. rückseitige Hallenwand)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Stapelanlage (Paketierung)</Arbeitsblatt_MAG>
  <Arbeitsblatt_Name>Stapelanlage (Paketierung)</Arbeitsblatt_Name>
</ArbeitsblattContext>
</file>

<file path=customXML/itemProps7.xml><?xml version="1.0" encoding="utf-8"?>
<ds:datastoreItem xmlns:ds="http://schemas.openxmlformats.org/officeDocument/2006/customXml" ds:itemID="{242a91f1-1337-4c68-85cc-04306bbdc4c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