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d69adda-f188-4c7c-a0aa-3ab769256dd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d69adda-f188-4c7c-a0aa-3ab769256dd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d69adda-f188-4c7c-a0aa-3ab769256dd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d69adda-f188-4c7c-a0aa-3ab769256dd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d69adda-f188-4c7c-a0aa-3ab769256dd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d69adda-f188-4c7c-a0aa-3ab769256dd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d69adda-f188-4c7c-a0aa-3ab769256dd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d69adda-f188-4c7c-a0aa-3ab769256dd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d69adda-f188-4c7c-a0aa-3ab769256dd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d69adda-f188-4c7c-a0aa-3ab769256dd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d69adda-f188-4c7c-a0aa-3ab769256dd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47e2f2ace664f90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Antriebselemente (z. B. Riemen, Rollen) durch Verdeckung gesichert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Auftrennen hochkant stehender Werkstücke Parallelanschlag und Zuführhilfe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Quersägen hochkant stehender Werkstücke ein Kippen des Werkstückes durch einen Stützwinkel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Bündige Ausführung der Tischeinlage mit Werkstückauflage und Schlitzbreite für Sägebanddurchführung auf maximal 5 mm begrenzt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Eng anliegende Kleidung tragen. Trageverbot von Schmuck und Handschuhen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Verwendung von Schiebestock und Schneidlehren um ein Hineingreifen in den Gefahrbereich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Sägeband außerhalb des Schnittbereiches verdecken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Sägeblattführung knapp über Werkstückdicke einstellen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Runde Werkstücke sicher auflegen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Anschlag bei hochkanten Auftrennarbeiten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 so wenig wie möglich rückwärts ziehen (Risiko des Herunterreißens des Sägebandes von der Rolle)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Schutzhandschuh beim Sägebandwechsel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Tischbandsägemaschine</Arbeitsblatt_MAG>
  <Arbeitsblatt_Name>Tischbandsägemaschine</Arbeitsblatt_Name>
</ArbeitsblattContext>
</file>

<file path=customXML/itemProps7.xml><?xml version="1.0" encoding="utf-8"?>
<ds:datastoreItem xmlns:ds="http://schemas.openxmlformats.org/officeDocument/2006/customXml" ds:itemID="{3d69adda-f188-4c7c-a0aa-3ab769256dd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