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ab0cab3-b36f-4e92-ab6a-e647976573a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ab0cab3-b36f-4e92-ab6a-e647976573a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ab0cab3-b36f-4e92-ab6a-e647976573a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ab0cab3-b36f-4e92-ab6a-e647976573a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ab0cab3-b36f-4e92-ab6a-e647976573a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ab0cab3-b36f-4e92-ab6a-e647976573a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ab0cab3-b36f-4e92-ab6a-e647976573a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ab0cab3-b36f-4e92-ab6a-e647976573a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ab0cab3-b36f-4e92-ab6a-e647976573a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ab0cab3-b36f-4e92-ab6a-e647976573a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ab0cab3-b36f-4e92-ab6a-e647976573a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2d1f42eb1184735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Den Vorschubapparat möglichst für alle Fräsarbeiten (auch Probefräsungen)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Drehzahl bzw. Schnittgeschwindigkeit in Abhängigkeit des Materials und des Werkzeuges ermitteln (Achtung: zulässige Höchstdrehzahl des Werkzeuges nicht überschreiten)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Einstellarbeiten nur im Stillstand vornehmen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Einsetzfräsarbeiten Rückschlagsicherungen in Form von stufenlos verstellbaren Queranschlägen verwenden. Schraubzwingen zum Befestigen von Rückschlagsicherung sind unzulässig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Hilfsmittel und Vorrichtungen (z. B. Schiebehölzer, Spannlade für kurze Werkstücke, Druckrollen/-kämme, Rückschlagsicherung für Einsatzfräsen, Einstellvorrichtung, Schutzhaube für Fräsen am Anlaufring i. V. mit Zuführleiste) an der Maschine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Fräswerkzeuge verwenden, die für Handvorschub zugelassen sind (Kennzeichnung MAN und/oder Prüfzeichen BGTEST)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Prüfen, ob an Altmaschinen eine Druck- und Schutzvorrichtung nachgerüstet werden kann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Spannlade zum Bearbeiten von kurzen Werkstücken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Werkzeugverdeckung vor dem Anschlag (z. B. Druck- und Schutzapparat, Bogendruckfeder)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Werkzeugverdeckungen sollen den Schneidenkreis des Werkzeuges um Werkstückdicke überragen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Zum Fräsen geschweifter Werkstücke Bogenfräshaube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Tischfräsmaschine</Arbeitsblatt_MAG>
  <Arbeitsblatt_Name>Tischfräsmaschine</Arbeitsblatt_Name>
</ArbeitsblattContext>
</file>

<file path=customXML/itemProps7.xml><?xml version="1.0" encoding="utf-8"?>
<ds:datastoreItem xmlns:ds="http://schemas.openxmlformats.org/officeDocument/2006/customXml" ds:itemID="{0ab0cab3-b36f-4e92-ab6a-e647976573a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