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741af08-af7e-45eb-917f-2f5bed39d8b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741af08-af7e-45eb-917f-2f5bed39d8b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741af08-af7e-45eb-917f-2f5bed39d8b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741af08-af7e-45eb-917f-2f5bed39d8b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741af08-af7e-45eb-917f-2f5bed39d8b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741af08-af7e-45eb-917f-2f5bed39d8b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741af08-af7e-45eb-917f-2f5bed39d8b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741af08-af7e-45eb-917f-2f5bed39d8b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741af08-af7e-45eb-917f-2f5bed39d8b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741af08-af7e-45eb-917f-2f5bed39d8b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741af08-af7e-45eb-917f-2f5bed39d8b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b0c2a2f2bad4949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Verkleidung der Maschine. Bewegliche Klappen in der Verkleidung müssen elektrisch verriegelt und mit einer Zuhaltung ausgerüstet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Arbeiten an den Werkzeugen, z. B. Werkzeugwechsel, schnittfeste Handschuhe  und ggf.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 mit Zuhaltung; bei Bedarf in Kombination mit Sicherheitslichtschranken, wenn nach dem Auslösen die gefahrbringenden Bewegungen vor dem Erreichen und nach &lt; 10 s, gestoppt sind, sicher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Trimmer-Kappsägen</Arbeitsblatt_MAG>
  <Arbeitsblatt_Name>Trimmer-Kappsägen</Arbeitsblatt_Name>
</ArbeitsblattContext>
</file>

<file path=customXML/itemProps7.xml><?xml version="1.0" encoding="utf-8"?>
<ds:datastoreItem xmlns:ds="http://schemas.openxmlformats.org/officeDocument/2006/customXml" ds:itemID="{4741af08-af7e-45eb-917f-2f5bed39d8b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