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36c22fc-e1e4-408b-a6ac-0d46eb26ce6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36c22fc-e1e4-408b-a6ac-0d46eb26ce6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36c22fc-e1e4-408b-a6ac-0d46eb26ce6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36c22fc-e1e4-408b-a6ac-0d46eb26ce6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36c22fc-e1e4-408b-a6ac-0d46eb26ce6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36c22fc-e1e4-408b-a6ac-0d46eb26ce6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36c22fc-e1e4-408b-a6ac-0d46eb26ce6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36c22fc-e1e4-408b-a6ac-0d46eb26ce6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36c22fc-e1e4-408b-a6ac-0d46eb26ce6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36c22fc-e1e4-408b-a6ac-0d46eb26ce6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36c22fc-e1e4-408b-a6ac-0d46eb26ce6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ebe9c411483448e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Atemschutz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Hautkontakt möglichst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des Gefahrstoffs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Alarmplan erstellen (insbesondere bei größeren Mengen)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Explosionsschutzdokument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Fluchtwege kennzeichnen und freihalten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Gefahrstoffverzeichnis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Umgang mit Gefahrstoffen</Arbeitsblatt_MAG>
  <Arbeitsblatt_Name>Umgang mit Gefahrstoffen</Arbeitsblatt_Name>
</ArbeitsblattContext>
</file>

<file path=customXML/itemProps7.xml><?xml version="1.0" encoding="utf-8"?>
<ds:datastoreItem xmlns:ds="http://schemas.openxmlformats.org/officeDocument/2006/customXml" ds:itemID="{f36c22fc-e1e4-408b-a6ac-0d46eb26ce6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