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845b206-4440-4fc7-b1de-135d53c6e1a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845b206-4440-4fc7-b1de-135d53c6e1a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845b206-4440-4fc7-b1de-135d53c6e1a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845b206-4440-4fc7-b1de-135d53c6e1a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845b206-4440-4fc7-b1de-135d53c6e1a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845b206-4440-4fc7-b1de-135d53c6e1a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845b206-4440-4fc7-b1de-135d53c6e1a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45b206-4440-4fc7-b1de-135d53c6e1a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45b206-4440-4fc7-b1de-135d53c6e1a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45b206-4440-4fc7-b1de-135d53c6e1a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45b206-4440-4fc7-b1de-135d53c6e1a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eacf40135394c22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Werkstücke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Eingriff in Schneidebene (z. B. durch Zweihandschaltung, ortsbindende Befehlseinrichtung)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Werkzeug (Sägeblatt/Fräser) geht nach Beendigung des Bearbeitungsvorganges selbständig in die Ausgangsstellung zurück und ist in Ausgangsstellung vollständig verkleidet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z. B. Zweihandschaltung, ortsbindende Befehlseinrichtung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Wasserschlitzfräse</Arbeitsblatt_MAG>
  <Arbeitsblatt_Name>Wasserschlitzfräse</Arbeitsblatt_Name>
</ArbeitsblattContext>
</file>

<file path=customXML/itemProps7.xml><?xml version="1.0" encoding="utf-8"?>
<ds:datastoreItem xmlns:ds="http://schemas.openxmlformats.org/officeDocument/2006/customXml" ds:itemID="{5845b206-4440-4fc7-b1de-135d53c6e1a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