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ed343198-9222-4c89-a87f-2eab0418a2c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ed343198-9222-4c89-a87f-2eab0418a2c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ed343198-9222-4c89-a87f-2eab0418a2c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ed343198-9222-4c89-a87f-2eab0418a2c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ed343198-9222-4c89-a87f-2eab0418a2c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ed343198-9222-4c89-a87f-2eab0418a2c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ed343198-9222-4c89-a87f-2eab0418a2c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d343198-9222-4c89-a87f-2eab0418a2c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d343198-9222-4c89-a87f-2eab0418a2c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ed343198-9222-4c89-a87f-2eab0418a2c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ed343198-9222-4c89-a87f-2eab0418a2c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e10f5f8fa6140bf" /></Relationships>
</file>

<file path=customXML/item7.xml><?xml version="1.0" encoding="utf-8"?>
<!--Generiert am 13.12.2023 23:24:5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Brennbare Gegenstände entfernen oder fortbringen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Brennbare Stoffe und Flüssigkeiten aus dem Arbeitsbereich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Neuanschaffung schwingungsarme Geräte bevorzugen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"Belastungen des Muskel-Skelett-Systems einschließlich Vibrationen" (AMR Nr. 13.2, früher G 46) anbieten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Tägliche Benutzungsdauer der Geräte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Hand-Arm-Vibrationen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Maschinen sicher ablegen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Ordnung am Arbeitsplatz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Vorsorgeuntersuchung veranlassen (Angebots- oder Pflichtvorsorge "Lärm" (früher G 20))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bewegliche Trennwände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Schleifscheiben bestimmungsgemäß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Schleifscheiben nur bis zum Ablaufdatum nutzen (sofern angegeben)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Schutzhauben an Winkelschleifer richtig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Werkstücke fest einspannen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Winkelschleifer</Arbeitsblatt_MAG>
  <Arbeitsblatt_Name>Winkelschleifer</Arbeitsblatt_Name>
</ArbeitsblattContext>
</file>

<file path=customXML/itemProps7.xml><?xml version="1.0" encoding="utf-8"?>
<ds:datastoreItem xmlns:ds="http://schemas.openxmlformats.org/officeDocument/2006/customXml" ds:itemID="{ed343198-9222-4c89-a87f-2eab0418a2c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