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4983920-0780-4262-a5ce-6490d65d477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4983920-0780-4262-a5ce-6490d65d477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4983920-0780-4262-a5ce-6490d65d477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4983920-0780-4262-a5ce-6490d65d477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4983920-0780-4262-a5ce-6490d65d477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4983920-0780-4262-a5ce-6490d65d477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4983920-0780-4262-a5ce-6490d65d477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4983920-0780-4262-a5ce-6490d65d477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4983920-0780-4262-a5ce-6490d65d477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4983920-0780-4262-a5ce-6490d65d477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4983920-0780-4262-a5ce-6490d65d477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2a269d356af4879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an oder innerhalb der Maschine sichere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Entsorgung unterhalb der Förderebene, um Reinigungsarbeiten im Gefahrbereich zu vermeiden (z. B. trichterförmige Verblechung mit Kratzförderer)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durch distanzierende Schutzeinrichtungen (z. B. Stehverhinderer)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Gefahrstellen- und Gefahrbereiche durch Verblechungen und Spundwände, elektrisch verriegelte Zugangstüren oder Klappen mit Zuhaltung,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darf die Freigabe der Zuhaltung erst dann erfolgen, wenn zuvor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dem Einsteigen zum Werkzeugwechsel oder Abschmieren muss der Wurzelreduzierer abgeschaltet und gegen Wiedereinschalten 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den Werkzeugen, z. B. Werkzeugwechsel,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Wurzelanlaufreduzierer</Arbeitsblatt_MAG>
  <Arbeitsblatt_Name>Wurzelanlaufreduzierer</Arbeitsblatt_Name>
</ArbeitsblattContext>
</file>

<file path=customXML/itemProps7.xml><?xml version="1.0" encoding="utf-8"?>
<ds:datastoreItem xmlns:ds="http://schemas.openxmlformats.org/officeDocument/2006/customXml" ds:itemID="{b4983920-0780-4262-a5ce-6490d65d477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