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86669bd-6b44-487f-94c9-7a3088bd30c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86669bd-6b44-487f-94c9-7a3088bd30c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86669bd-6b44-487f-94c9-7a3088bd30c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86669bd-6b44-487f-94c9-7a3088bd30c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86669bd-6b44-487f-94c9-7a3088bd30c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86669bd-6b44-487f-94c9-7a3088bd30c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86669bd-6b44-487f-94c9-7a3088bd30c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86669bd-6b44-487f-94c9-7a3088bd30c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86669bd-6b44-487f-94c9-7a3088bd30c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86669bd-6b44-487f-94c9-7a3088bd30c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86669bd-6b44-487f-94c9-7a3088bd30c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55c468c3c574d1c" /></Relationships>
</file>

<file path=customXML/item7.xml><?xml version="1.0" encoding="utf-8"?>
<!--Generiert am 13.12.2023 23:24:5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der Vorderseite muss der Zugriff zu den Schlitzscheibe(n) durch eine auf das Werkstück absenkbare bewegliche Verdeckung verhindert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obere Werkzeugverdeckung an der Ablängsäge (z. B. Schutzhaube) muss auf Werkstückhöhe einstellbar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Schlitzscheibe(n) müssen bis auf den zum Fräsen benötigten vorderen Bereich komplett verdeckt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Druckzylinder absichern (z. B. Hub der Spannelemente auf 10 mm begrenzt)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Richtige Einstellung und Verwendung des geeigneten Spaltkeils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Werkzeuge gemäß der Vorschubart der Maschine auswählen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Maschine, die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Zapfenschneid- und Schlitzmaschine</Arbeitsblatt_MAG>
  <Arbeitsblatt_Name>Zapfenschneid- und Schlitzmaschine</Arbeitsblatt_Name>
</ArbeitsblattContext>
</file>

<file path=customXML/itemProps7.xml><?xml version="1.0" encoding="utf-8"?>
<ds:datastoreItem xmlns:ds="http://schemas.openxmlformats.org/officeDocument/2006/customXml" ds:itemID="{786669bd-6b44-487f-94c9-7a3088bd30c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